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«УНР - 394М»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1037804001047,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7802117038)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«Волна FM 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1047200643050,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7204086390)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С-072-7204086390-04032010-382/4,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«Волна FM 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1047200643050,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7204086390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«Исток»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1022200706714,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2205005846)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С-022-2205005846-06062012-911/1,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«Исток»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1022200706714,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2205005846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«БалтКомСтрой»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1089848045540,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7804404327)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С-098-7804404327-07122009-022/6,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«БалтКомСтрой»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1089848045540,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7804404327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1095401000628,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5401320945)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С-054-5401320945-16042010-524/4,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1095401000628,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5401320945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Строительно-Производственная Компания «АрмСибСтрой»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1085401022827,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5401317847)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С-054-5401317847-10032010-394/4,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Строительно-Производственная Компания «АрмСибСтрой»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1085401022827,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5401317847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«Дельта»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1109847002209,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7811453050)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С-098-7811453050-05052010-574/4,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«Дельта»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1109847002209,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7811453050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«СофтСтрой»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1075406020568,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5406399716)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С-054-5406399716-26062013-985/1,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«СофтСтрой»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1075406020568,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5406399716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