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«Мехколоннастрой»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1026000902619,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6002007309)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«Управление инвестициями»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1073917007328,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3916012842)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7813403312)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1022201136231,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2222034269)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1022300632881,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2302038822)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«УПРАВЛЯЮЩАЯ КОМПАНИЯ ЖКХ «ЗЕЛЕНЫЙ ДОМ»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1033917002360,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3917018082)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«ГИТЭС»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1037700012822,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7736209043)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«Сибинтех»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1082221002951,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2221132859)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«Спецавтоматика-С»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1089848034924,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7801483289)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1077761625985,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7715671257)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1095405024835,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5405402660)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«Тенгри»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1030400733747,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0411110673)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«АлтайКапСтрой»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1082222003203,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2222072793)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«СтОИК»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7841330899)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«Ремонтно-Строительное Управление «МАСТЕР»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1099847022912,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7813459795)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«МК-Альянс»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1079847050524,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7813367199)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«Ай Пи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7813465069)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«Дорожное эксплуатационное предприятие №219»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1050400677095,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0408011023)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«Строительно-монтажная компания «КИТ»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1102224000251,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2224138288)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«ВИКАР-Инжиниринг»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1067761783869,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7733590610)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«Импульс Промышленные Котельные»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1025002880154,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5024051405)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«Партнеринвестстрой»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1035008252840,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5041015206)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«ИнжинирингСтрой»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1064214012510,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4214026596)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«ИнтерСтрой»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1047796917420,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7722532078)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«ПромГазСервис»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1063525102244,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3525167358)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«Норма»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1042201922355,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2221065144)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«Академэлектромонтаж»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1037843038595,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7803064678)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«БАЛТИКОН»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1037843077711,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7825503760)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5087746173884,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7725647207)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«СпецСтройСоюз»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1107847039211,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7838438719)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«ВитаСтрой»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1107847036769,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7842424758)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«Межрегиональная Компания «Транстелесеть»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1042202261848,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2225062120)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1079847102081,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7801454496)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«Рузбус»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1025007461214,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5073002520)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«СтройШат»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1035010102324,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5049013810)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«Строй-Авангард»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1089847343101,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7804398715)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«Вега-777»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1023901646922,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3907027916)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«ЖелезоБетон»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1083925006802,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3917500754)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«Скат-Кескус»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1089847351220,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7839390210)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1063905083791,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3905078217)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«Тепломонтаж-сервис»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1037821022095,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7810153664)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«Седьмое СМУ»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1097847212330,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7810560902)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«Невское»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1027806077265,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7825688172)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«Теплоцентраль»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1025001628134,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5013006792)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1026103745744,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6165038737)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1077847210759,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7811370291)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«Птерро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1023902052954,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3912008179)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«Полет и 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1056758426372,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6729032192)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Строительная Компания «Терра»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5067847541834,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7802372052)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1085406040103,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5406506326)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1065404013564,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5404267190)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