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«ПроЭнергоМаш-Проект»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1072224004379,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2224112995)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«Красная Площадь»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1095407004274,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5407060764)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«Ишимстройпроектзаказ»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1027201231584,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7205005122)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1077847322090,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7801436095)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«Северная Столица»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1107847081693,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7801515928)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«ЛЭРС-Проект»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1032700334435,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2721109488)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«Запсибагропромспецпроект»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1025401926230,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5405106565)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2224120058)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