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17/2009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21 декабря 2009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«ПитерСтройМеталл»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1027804887220,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7810257670)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«СМУ-СПб»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1089847383780,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7839391615)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«СТЕЛКОМ21»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1094705003690,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4705047534)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«КГК-РЕСТАВРАЦИЯ»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1047855050605,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7820300798)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«АДС СОВБИ-Строй»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1089847182413,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7842384488)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«ТЕРМОИНЖСЕРВИС»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1035004902228,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5026009984)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«Монтажник»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1052202338176,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2225072738)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«СПК Аква-Вива»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1077847232605,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7804359963)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«Теплотехник»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1026000966144,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6027041943)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«Строй-Индустрия»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1032202181857,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2224083952)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«Строй-Центр»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1027807585915,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7814076107)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Строительная Компания «Скади»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1092223009944,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2223573619)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«ЭлитСтрой»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1082224010450,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2224127504)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«АлтайСпецМонтаж»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1082222002411,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2222072031)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«УНР-345»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1077847184403,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7811369641)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«Финансово-строительная компания Омега»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1052202168138,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2224092234)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«БСК»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1099847009217,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7804427074)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«Производственное объединение «Управление строительными проектами»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1047803009792,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7802229398)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«НьюКом Групп»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1089847372185,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7841395423)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«ЖД 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1077847048124,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7820309649)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21 декабря 2009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