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«Сибстрин»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1021400970612,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1433000926)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13.01.2017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1092223010043,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2223573672)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 «Азовводоканал»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1026101790846,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6140000097)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3069 от 23.11.2016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«Азовводоканал»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1026101790846,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6140000097)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38 от 12.01.2017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«Азовводоканал»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1026101790846,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6140000097)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«Уралэнерготел»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1076670013089,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6670171718)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 от 09.01.2017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«Уралэнерготел»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1076670013089,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6670171718)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 от 09.01.2017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«Уралэнерготел»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1076670013089,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6670171718)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«Дорожник»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1076130000187,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6130703630)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4105 от 19.12.2016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«Дорожник»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1076130000187,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6130703630)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32 от 12.01.2017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«Дорожник»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1076130000187,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6130703630)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1085405011560,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5405371122)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31 от 11.01.2017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1085405011560,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5405371122)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 от 11.01.2017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«РегионСибСтрой»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1085405011560,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5405371122)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