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марта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DA6D00">
        <w:rPr>
          <w:sz w:val="22"/>
          <w:szCs w:val="22"/>
        </w:rPr>
        <w:t xml:space="preserve">О прекращении действия </w:t>
      </w:r>
      <w:r w:rsidRPr="00B067AC">
        <w:rPr>
          <w:sz w:val="22"/>
          <w:szCs w:val="22"/>
        </w:rPr>
        <w:t xml:space="preserve">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</w:t>
      </w:r>
      <w:r w:rsidR="00B111E1" w:rsidRPr="00B111E1">
        <w:rPr>
          <w:sz w:val="22"/>
          <w:szCs w:val="22"/>
        </w:rPr>
        <w:t>Ассоциации</w:t>
      </w:r>
      <w:r w:rsidRPr="00B067AC">
        <w:rPr>
          <w:sz w:val="22"/>
          <w:szCs w:val="22"/>
        </w:rPr>
        <w:t xml:space="preserve"> юридического лица (индивидуального предпринимателя).</w:t>
      </w:r>
    </w:p>
    <w:p w14:paraId="4DD72551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«Котельный Завод «Котломаш»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1112223001021,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2222793210)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П-022-2222793210-09102013-411/2,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«Котельный Завод «Котломаш»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1112223001021,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2222793210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марта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