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«ЛокомотивСтрой»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1102224002561,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2224140689)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«ВолгоНефтеГазАвтоматика»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1113443001374,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3443103480)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ТОМАС»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1037843017222,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7825090079)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«Северные высоты»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1057813216889,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7802341833)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«ГазПромСибирь»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1082222000288,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2222070080)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«ИНВЕСТИЦИИ – КОМПЛЕКТ - СТРОЙ»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1057747370383,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7704561968)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12.04.2011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13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