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«ССТ (системы современного телевидения)»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1022201381300,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2223040480)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