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Шахова В.М.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«Запсибэлектросервис»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1102223000604,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2222785233)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1092224006071,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2224136682)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1032202181857,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2224083952)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1079847032990,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7810086111)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1086163003299,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6163092778)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«БЛИК+»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1083022000445,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3001042094)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6150053940)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1086150000496,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6150055930)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1106174001262,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6143074594)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«ПожСтройМонтаж»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1103460004636,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3445113068)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1106183000505,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6150062367)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«Энерго-Контакт»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1082302000263,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2302057198)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 Юга»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1093460003009,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3446034468)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6150052961)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«ТРАНСТОРГ»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1106670020820,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6670300353)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«Технадзор-Инжиниринг»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1079847112454,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7816429492)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1026101454884,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6126008143)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7813430411)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«КлиматТеплоАвтоматика»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1092302002121,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2302062261)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«Армавиртеплоэнерго»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1092302001472,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2302061557)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Шахов В.М.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