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«Грант-СБ»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1056166007920,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6166052597)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 «Новосибирский завод искусственного волокна»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1025404792291,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5446102190)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1082221001477,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2221131446)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«КВОЛИТЕК»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1057810184354,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7801377883)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«Городские инженерные системы»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1063459051853,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3442085006)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«Городское проектно-эксплуатационное бюро»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1043400415563,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3445066202)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2.7.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«Геостэл»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1107847033909,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7840426622)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2.8.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«АСПроект»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1115543009559,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5501232410)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