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1066165051270,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6165131623)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«Волгодонская городская электрическая 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1026101926070,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6143014080)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«ДонРемСтрой»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1106174000206,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6143073625)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1032202181857,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2224083952)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Ростовской области «Орловское дорожное ремонтно-строительное управление»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1026103711644,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6126009877)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