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4000110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0001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Запсибагропромспец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19262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1065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1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9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486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ег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651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415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бр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288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22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