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«ЮгКаркасПроект»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1026103275197,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6165076299)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«Импульс Промышленные Котельные»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П-050-5024051405-07122009-008/3,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«Импульс Промышленные Котельные»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1097847222142,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7801500223)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П-098-7801500223-21122009-016/3,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1097847222142,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7801500223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«Проект-Мастер»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1106194004883,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6162057509)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П-061-6162057509-26082011-348/1,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«Проект-Мастер»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1106194004883,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6162057509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«Волгоградтрансремстрой-Проект»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1073460006971,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3445094143)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П-034-3445094143-29122009-032/2,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«Волгоградтрансремстрой-Проект»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1073460006971,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3445094143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«Калининградская Гавань»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1023900586742,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3904041140)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П-039-3904041140-18022010-124/3,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«Калининградская Гавань»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1023900586742,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3904041140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«Инженерно-строительное объединение»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1077847091915,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7806356407)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П-098-7806356407-19082011-347/1,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«Инженерно-строительное объединение»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1077847091915,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7806356407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