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308667201000016,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667220383878)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«Ай Пи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1107847045261,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7813465069)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НПФ «ТЕЗАУРУС»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1081831010689,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1831130924)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1089848031900,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7810535991)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«Строительно-производственное объединение СФЕРА»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1107847026143,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7839418024)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«Электросельхозпроммонтаж»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1093459006046,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3442106922)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«ПОДРЯД»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1055404158050,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5404258100)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1105405002889,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5405408478)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 -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1053900160555,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3908032475)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1076143000010,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6143064412)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1073906028789,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3906180069)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1105405001448,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5405407570)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1037832002966,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7814068709)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1067847172623,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7814335859)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1092223005819,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2223971507)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1095401012464,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5401332570)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«Востокспецавтоматика»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1025401018290,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5402141723)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«АНИС»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1089847308440,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7841392430)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