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16/2014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апреля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Муниципального бюджетного учреждения «Центр капитального строительства»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1053905500703,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3911002657)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«Интеллект-лаборатория»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1023900587589,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3904046808)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«Континент-Проект»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1082304002142,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2304053495)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«Сибирская перспектива»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1082221001477,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2221131446)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Закрытым акционерным обществом «Новые технологии теплоснабжения»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1037825025545,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7811071703)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П-098-7811071703-21042010-193/3,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Закрытое акционерное общество «Новые технологии теплоснабжения»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1037825025545,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7811071703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«Энерго СТ»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1038900502431,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8901014476)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П-089-8901014476-12042010-185/2,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«Энерго СТ»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1038900502431,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8901014476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«ПРОМРЕСУРС»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1079847060292,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7810087651)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П-098-7810087651-19032010-162/3,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«ПРОМРЕСУРС»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1079847060292,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7810087651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апреля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