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«ТТДВ»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1112536016834,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2536247229)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С-025-2536247229-15032010-401/6,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«ТТДВ»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1112536016834,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2536247229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«ВиРА»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1089847029502,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7804381126)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С-098-7804381126-04032010-374/3,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«ВиРА»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1089847029502,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7804381126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«СтройЭнерго»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1046002001385,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6037000784)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С-060-6037000784-17032010-413/3,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«СтройЭнерго»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1046002001385,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6037000784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«Контур»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1077203027637,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7204110100)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С-072-7204110100-10032010-388/4,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«Контур»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1077203027637,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7204110100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1079847060292,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7810087651)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С-098-7810087651-16042010-527/4,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«ПРОМРЕСУРС»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1079847060292,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7810087651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Фирма «Ремстроймонтаж»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1089848031900,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7810535991)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С-098-7810535991-02042010-472/3,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Фирма «Ремстроймонтаж»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1089848031900,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7810535991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«УралСтройМонтаж»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1069659054410,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6659141773)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С-066-6659141773-16042010-520/3,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«УралСтройМонтаж»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1069659054410,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6659141773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«Феникс»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1105405001448,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5405407570)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С-054-5405407570-02042010-474/4,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«Феникс»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1105405001448,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5405407570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«УралМонтажРемонт»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1106659000491,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6659199614)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С-066-6659199614-26032010-453/3,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«УралМонтажРемонт»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1106659000491,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6659199614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«Алтайводстрой»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1072223002390,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2223058015)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С-022-2223058015-10032010-387/6,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«Алтайводстрой»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1072223002390,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2223058015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«Стройтехнология»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1085407000931,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5407046022)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С-054-5407046022-10032010-386/3,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«Стройтехнология»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1085407000931,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5407046022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«ИС-Строй»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1065401100709,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5401276460)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С-054-5401276460-31032010-461/3,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«ИС-Строй»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1065401100709,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5401276460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«А2»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1096672020906,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6672307932)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С-066-6672307932-01022010-229/3,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«А2»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1096672020906,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6672307932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