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89/2010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15 декабря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«Энерго СТ»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1038900502431,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8901014476)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«Бастионъ»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1027200802738,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7203111252)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 г.Армавира «Институт проектирования»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1062302022969,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2302053669)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«Монтажная компания Теплоэнергострой»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1057749518441,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7716539501)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«КУБ-систем»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1047796117203,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7734509147)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«МИКАР»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1027200883027,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7204052063)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«СибБизнесПроект»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1077203058140,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7202170110)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«ИМПУЛЬС-ЭНЕРГЕТИЧЕСКИЕ СИСТЕМЫ»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1085024000038,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5024093194)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«Импульс Промышленные Котельные»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1025002880154,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5024051405)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 «СтройГАЗ»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1022201131116,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2222008413)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«КЕМИ»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1025001632590,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5013029599)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Открытое акционерное общество «Запсибагропромспецпроект»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1025401926230,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5405106565)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Открытое акционерное общество «Ишимагрострой»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1027201238899,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7217000390)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проектная группа «АС»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1066143050973,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6143063338)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«СтройСервисПлюс»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1093435000977,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3435099054)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«ТЭС»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1095401012464,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5401332570)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«Новые технологии теплоснабжения»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1037825025545,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7811071703)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15 декабря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