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«Архитектурное бюро «Форм унд Раум»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1089848022736,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7842397279)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«ПроЭнергоМаш-Проект»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1072224004379,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2224112995)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«Алтайгидропроект»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1022201388384,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2223037181)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«Грант-СБ»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1056166007920,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6166052597)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«Гражданское и промышленное проектирование»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«Сибкоммунэнерго»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1035403191570,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5407248364)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1097746180168,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7728696643)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«Городское проектно-эксплуатационное бюро»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1043400415563,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3445066202)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Автономную некоммерческую организацию «АССОЦИАЦИЯ ЦЕНТРОВ ИНЖИНИРИНГА И АВТОМАТИЗАЦИИ»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1057812707919,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7804324576)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1077847322090,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7801436095)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Фирма «Прогноз +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1077203035601,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7202163635)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