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Белуха»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1130411005438,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0411167052)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«НеваСтрой»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1089847032901,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7813403312)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С-098-7813403312-30042010-572/4,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«НеваСтрой»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1089847032901,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7813403312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«Регион-Строй»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1072320014337,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2320155085)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С-023-2320155085-12052010-596/3,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«Регион-Строй»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1072320014337,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2320155085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1106183003310,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6150064950)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С-061-6150064950-25032011-805/3,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1106183003310,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6150064950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1106659000480,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6659199678)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С-066-6659199678-28042010-557/4,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1106659000480,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6659199678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«Строй-Гарант»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1079847102081,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7801454496)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С-098-7801454496-28042010-558/4,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«Строй-Гарант»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1079847102081,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7801454496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«ВолгаДонСтрой»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1023402975056,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3443042527)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С-034-3443042527-20022013-958/1,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«ВолгаДонСтрой»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1023402975056,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3443042527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Индивидуальным предпринимателем Поповым Геннадием Владимировичем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304614515400033,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614510004764)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С-061-614510004764-05052010-575/4,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Индивидуальный предприниматель Попов Геннадий Владимирович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ОГРНИП 304614515400033,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614510004764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«Енисей»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1025202195941,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5254022399)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С-052-5254022399-02042010-478/4,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