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«Главресурс-Строй СПб»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1097847297096,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7814449888)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