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«Катуньгэсстрой»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1020400664129,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0408002981)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1047855148065,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7811309272)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Тепличный комбинат «Новосибирский»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1075475004637,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5433168764)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1057812658067,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7802335460)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«Промэнергоблок»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1097847241975,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7811443768)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«Тепловые сети Балашихи»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5001036552)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«АванМастер»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1047855057436,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7811303986)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казенное учреждение «Управление муниципального хозяйства»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1063458003300,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3426011293)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«БизнесОфисСтайл»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1067746868353,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7730544951)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1103850005599,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3811137058)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«Тепломонтажное управление №6»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1087746494780,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7710714066)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«Птерро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1023902052954,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3912008179)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