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«КСВ Флоор Системз»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1077847426293,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7801439748)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«Управляющая компания Сибирьэнерго»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1085406020677,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5406442619)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«Траверс+»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1037821107026,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7810299906)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1077761625985,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7715671257)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«Модуль-монтаж»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1103443001507,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3443097300)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«Сибирское предприятие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1025403213109,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5407128236)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«ВерсаСтрой»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1067847172271,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7802345073)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1046121000155,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6121007322)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«МДК»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1077847176406,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7810093493)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«Геостэл»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1107847033909,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7840426622)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«Технологии развития недвижимости»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1037867015064,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7841008096)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«Современное строительство и отделка»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1097847304972,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7811447811)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«Номэд»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1080411002968,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0411138140)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«Промагрегат»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1066150005460,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6150046870)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1073435008130,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3435090090)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«ЛенИнжСтрой»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1107847165470,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7801520484)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1089847058388,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7813405077)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1089847032241,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7814396851)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1027802520965,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7804097323)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«Монолитстрой»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1089847216359,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7806388744)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«Профмонтаж»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1076027004712,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6027105516)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1076659016301,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6659159650)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«БЭСР»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1042201979940,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2222047966)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«Галактика»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1089847247511,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7801472520)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«РосСтройИнжиниринг»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1097847322990,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7802485384)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1096183003993,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6150061821)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1089847029502,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7804381126)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«Усть-Коксинское дорожное ремонтно-строительное предприятие»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1060404009412,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0406004849)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инженерно-строительная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1104704000224,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4704082832)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«ГидроСтройКомплекс»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1089848050390,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7839395183)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«Межотраслевое Управление «Запад»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6150061620)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