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 Пост»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1027800511067,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7801127146)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1077847021251,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7839351725)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1077536007680,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7536082209)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1026103048322,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6162000326)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«НикАС»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1047855157008,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7804308060)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«Карельские инженерные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1021000508572,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1001139247)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«Дизайн-Строй»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1099847031085,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7806423340)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унитарное предприятие города Байконур «Ремонт и строительство № 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1039923001150,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1072302000550,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2302054366)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«БалтТехКом»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1089847256245,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1089847328702,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7811414870)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«Кросс-Энерго»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1089848014750,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7811421098)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1079847121903,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7810498612)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