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«Обособленное предприятие «Свердловэнергоремонт»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1076625001617,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6625042485)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1069659054410,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6659141773)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1037843089228,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7825682861)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«Онежская строительная компания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1041000051850,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1001160062)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«УПРАВЛЯЮЩАЯ КОМПАНИЯ ЖКХ «ЗЕЛЕНЫЙ ДОМ»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1033917002360,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3917018082)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