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«СибМтрейд»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1097847057219,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1066027044203,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6027097128)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«Свет-Системы»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1077847580260,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7817310845)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1089847216359,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7806388744)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1027806059742,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7811120950)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1073906002246,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3907056748)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 Пост»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1027800511067,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7801127146)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1077847021251,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7839351725)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1077536007680,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7536082209)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1089847328702,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1087847010426,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7841399996)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1099847002408,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7816476421)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«ИНВЕСТИЦИИ – КОМПЛЕКТ -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1057747370383,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7704561968)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1057813277807,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7842327063)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«ЭталонМонтаж»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1047855119575,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7806306269)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«Новые Технологии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5067847486328,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7811357519)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1072222003292,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2222064070)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60-я параллель»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1037819013704,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7807053229)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«Элитстрой-Онгудай»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1080404000533,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0404007530)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«Наяда-Урал»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1096672019773,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6672306777)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«Диагональ»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1072222012543,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2222069198)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«ЕвроКомфорт»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1073905003259,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3905080819)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1089847327261,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7810527302)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«Резерв»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1099847007215,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7813458706)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1099847004641,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7801507910)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НПФ «ТЕЗАУРУС»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1081831010689,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1831130924)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1089848031900,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7810535991)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1076143000010,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6143064412)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7805512653)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«Онежская строительная компания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1041000051850,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1001160062)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«Владивостокская Строительно-эксплуатационная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1062536046990,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2536174644)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«Петербургская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1037821063939,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7810165959)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1037821057218,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7810158775)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2225096873)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7802021992)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фирма «КЮТ»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1044701480790,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4708013808)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«АванМастер»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1047855057436,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7811303986)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«Усинский нефтеперерабатывающий завод»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1051100788650,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«ТИС»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1107847033667,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7841420550)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7820305980)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1084212001169,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4212027153)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«ВерсаСтрой»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1046000322444,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Кволит»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1079847129053,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7804378268)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1107847044018,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1047855157008,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7804308060)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«Современное строительство и отделка»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1097847304972,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7811447811)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«Стадия»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1027808002584,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7816001957)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