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«ЭКОИНЖИНИРИНГ»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5067847138486,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7801412344)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1073435007117,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3435089070)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1077203008244,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7202159011)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многоотраслевое производственное предприятие «Корунд»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1043400334757,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3444117694)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«Стройхитпроект»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1089847151580,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7805459174)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«КУБ-систем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1047855128694,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7816357400)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«А2-проект»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1076670014706,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6670173352)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«Гражданское и промышленное проектирование»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1073905026865,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3904092924)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РКС»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1027804606521,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7807041343)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«Архитектурное бюро Ивана Полякова»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1077847460790,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7838384943)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«СтройГАЗ»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1022201131116,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2222008413)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«Алтайгидропроект»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1022201388384,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2223037181)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«Термосиб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1025403214924,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5407230462)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«Проект-Технология»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1079847107383,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7804377144)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«Научно-Производственное Предприятие «Контэк»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1037808016146,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7804164393)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1067847745437,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7805394181)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«ЮгКаркасПроект»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1026103275197,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6165076299)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«КУБ-систем»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1047796117203,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7734509147)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