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«ИТ-Проекты»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1076150006316,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6150051171)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«Грант-СБ»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1056166007920,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6166052597)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«ИМПУЛЬС-ЭНЕРГЕТИЧЕСКИЕ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1085024000038,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5024093194)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Копычину-Лоренса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