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ТЕХН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44250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6858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СК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3585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0348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БАЛТИК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777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5037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4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