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469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191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ТОМ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172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900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гионСтройк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619300681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60810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6081069-16042012-898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гионСтройк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619300681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60810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идроСибАльян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4761150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68440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6684400-25042012-902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идроСибАльян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54761150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68440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мСтрой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20017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49097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2490971-26052010-62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мСтрой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20017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49097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ОБРАКС СБМ Групп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0777467968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1864525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7-7718645255-06082010-68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ОБРАКС СБМ Групп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50777467968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1864525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ысококачественные строительные технологи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1813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2307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5523077-27082010-70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ысококачественные строительные технологи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1813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2307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АртЛэн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640127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26980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4269805-18082010-70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«АртЛэнд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1640127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26980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АЗ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400348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182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4121823-11102010-736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АЗ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400348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182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Электро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40113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827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4128272-25082010-708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Электро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40113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827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