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«СтройВектор»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1122224000667,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2224151200)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06.11.2015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«Искитимспецмонтаж»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1115483001182,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5446013133)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С-054-5446013133-03082011-850/2,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