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043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29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уппа Алексея Шолохова «Балтсервисдизай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000472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015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1201569-04022010-07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руппа Алексея Шолохова «Балтсервисдизай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000472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015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ЭКО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1384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1234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1412344-11022010-086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ЭКОИНЖИНИ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1384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1234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Сибирская перспект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10014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3144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1131446-28012010-054/10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Сибирская перспект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10014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3144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