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5.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6.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«ГрадоСтрой»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1163926060440,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3917043970)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«Кристалл»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1063458019800,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3426011470)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«Визир»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1107746816539,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7724762937)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«АльянсСтройКом»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1133443018125,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3443922835)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«Путеец»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1082224011462,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2224128427)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Торговая Компания «ГАЗ-Сервис»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1115485000223,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5452115479)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«МЕГАПОЛИС»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1077847135651,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7813372230)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29.04.2016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5.1.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«СтройТон-М»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1072302000550,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2302054366)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С-023-2302054366-04022010-254/3,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5.1.2.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«СтройТон-М»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1072302000550,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2302054366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6.1.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«ВолгоПромМонтаж»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1073444011200,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3444151800)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С-034-3444151800-19032010-423/4,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