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хитектурная студия «АрхГрад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26125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56505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5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ГАЗ-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222406250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0149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2-2224101496-07042010-177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ГАЗ-Про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222406250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0149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арат Плю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230202206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283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3-2302052834-18012012-362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арат Плю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230202206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283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