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1054700178830,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4704062385)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«ПитерСтройМеталл»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1027804887220,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7810257670)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«Лада»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1102225000701,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2221177240)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«ГЕНСТРОЙПРОЕКТ»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1057812515518,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7839321819)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«БСК-инженеринг»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3917501067)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Попова Геннадия Владимировича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304614515400033,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614510004764)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«СМАРТ Инсталлейшн 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1095904016031,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5904217528)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