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Энерго 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1167847098803,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7810427611)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«Нева-Ресурс»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1037869000278,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7842000950)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«Альянс 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1092225007270,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2225106994)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С-022-2225106994-04032010-378/6,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1092225007270,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2225106994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«Балтдордомстрой»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1073905022938,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3905086666)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С-039-3905086666-10032010-392/5,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«Балтдордомстрой»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1073905022938,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3905086666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«ВолгоПромМонтаж»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1073444011200,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3444151800)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С-034-3444151800-19032010-423/4,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«ВолгоПромМонтаж»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1073444011200,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3444151800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1113435001041,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3435106449)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С-034-3435106449-21022011-789/3,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«ЮгСтрой»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1113435001041,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3435106449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