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ВБВ-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05114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1952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бла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4760559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49523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1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еркурьев и 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591700246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1759320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СГ-СТРОЙ 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9260432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30951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севлес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47005570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0306217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Фирма Гер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304979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2019221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1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вастополь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92040126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920400665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смаи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04110001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041113530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ехколонна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00090261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00200730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1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ымпелСтройКомпл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605720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51806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1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БС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222505339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284412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586 от 23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БС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222505339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284412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648 от 30.03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БС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6222505339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84412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