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0619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488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НОСТ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8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ф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3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струм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79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3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5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2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ий институт Промзерн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549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984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Форпост Балтики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07689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315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4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Шевченко Сергея Васил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72357278000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570014934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4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