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1106193006512,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6161059430)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«Завод металлопереработки»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1093458000437,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3426013100)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1079847120374,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7802415228)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«Эко Пост»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1027800511067,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7801127146)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04.03.2011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«АРТТЕХСТРОЙ-ТСК»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1104205001515,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4205193248)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