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9030055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308960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1.07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7495184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65395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4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три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1662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6757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30.06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Индивидуальным предпринимателем Бунимовичем Рувимом Иль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42503036000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5030006594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5-250300065944-30092010-275/3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Индивидуальный предприниматель Бунимович Рувим Ильич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ИП 3042503036000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50300065944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