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февраля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«Фасадстрой»</w:t>
      </w:r>
      <w:r w:rsidR="00B9210B" w:rsidRPr="00241327">
        <w:rPr>
          <w:sz w:val="22"/>
          <w:szCs w:val="22"/>
          <w:lang w:val="en-US"/>
        </w:rPr>
        <w:t xml:space="preserve"> (ОГРН 1037811019091,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7805234702)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«Фасадстрой»</w:t>
      </w:r>
      <w:r w:rsidRPr="00496A50">
        <w:rPr>
          <w:sz w:val="22"/>
          <w:szCs w:val="22"/>
        </w:rPr>
        <w:t xml:space="preserve"> (ОГРН 1037811019091,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7805234702)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EFE1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«Фасадстрой»</w:t>
      </w:r>
      <w:r w:rsidRPr="00823293">
        <w:rPr>
          <w:sz w:val="22"/>
          <w:szCs w:val="22"/>
        </w:rPr>
        <w:t xml:space="preserve"> (ОГРН 1037811019091, ИНН 7805234702)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25D454FF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февраля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