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марта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06C9A40F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«ПК «Электромашина»</w:t>
      </w:r>
      <w:r w:rsidR="00B9210B" w:rsidRPr="00241327">
        <w:rPr>
          <w:sz w:val="22"/>
          <w:szCs w:val="22"/>
          <w:lang w:val="en-US"/>
        </w:rPr>
        <w:t xml:space="preserve"> (ОГРН 1177847410245,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7814716269)</w:t>
      </w:r>
      <w:r w:rsidR="00B9210B">
        <w:rPr>
          <w:sz w:val="22"/>
          <w:szCs w:val="22"/>
          <w:lang w:val="en-US"/>
        </w:rPr>
        <w:t>.</w:t>
      </w:r>
    </w:p>
    <w:p w14:paraId="1BBF272B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0F4E6DFF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«ПК «Электромашина»</w:t>
      </w:r>
      <w:r w:rsidRPr="00496A50">
        <w:rPr>
          <w:sz w:val="22"/>
          <w:szCs w:val="22"/>
        </w:rPr>
        <w:t xml:space="preserve"> (ОГРН 1177847410245,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7814716269)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4EDE8D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5DCD6E56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марта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