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9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01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2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6015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041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15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Научно-производственная фирма «Ракур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8102834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204199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рестиж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55892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636818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9.03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