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апреля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«ФТЭнерго»</w:t>
      </w:r>
      <w:r w:rsidR="00B9210B" w:rsidRPr="00241327">
        <w:rPr>
          <w:sz w:val="22"/>
          <w:szCs w:val="22"/>
          <w:lang w:val="en-US"/>
        </w:rPr>
        <w:t xml:space="preserve"> (ОГРН 1097847219788,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7839408330)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«ФТЭнерго»</w:t>
      </w:r>
      <w:r w:rsidRPr="00496A50">
        <w:rPr>
          <w:sz w:val="22"/>
          <w:szCs w:val="22"/>
        </w:rPr>
        <w:t xml:space="preserve"> (ОГРН 1097847219788,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7839408330)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«ФТЭнерго»</w:t>
      </w:r>
      <w:r w:rsidRPr="00823293">
        <w:rPr>
          <w:sz w:val="22"/>
          <w:szCs w:val="22"/>
        </w:rPr>
        <w:t xml:space="preserve"> (ОГРН 1097847219788, ИНН 7839408330) по обязательствам по договорам подряда на подготовку проектной документации,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апреля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