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сентября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«СпецСтройСтандартРеконструкция»</w:t>
      </w:r>
      <w:r w:rsidR="00B9210B" w:rsidRPr="00241327">
        <w:rPr>
          <w:sz w:val="22"/>
          <w:szCs w:val="22"/>
          <w:lang w:val="en-US"/>
        </w:rPr>
        <w:t xml:space="preserve"> (ОГРН 1057812757958,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7807309368)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«СпецСтройСтандартРеконструкция»</w:t>
      </w:r>
      <w:r w:rsidRPr="00496A50">
        <w:rPr>
          <w:sz w:val="22"/>
          <w:szCs w:val="22"/>
        </w:rPr>
        <w:t xml:space="preserve"> (ОГРН 1057812757958,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7807309368)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сентября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