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февраля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«Спектр Реконструкция»</w:t>
      </w:r>
      <w:r w:rsidR="00B9210B" w:rsidRPr="00241327">
        <w:rPr>
          <w:sz w:val="22"/>
          <w:szCs w:val="22"/>
          <w:lang w:val="en-US"/>
        </w:rPr>
        <w:t xml:space="preserve"> (ОГРН 1197847052545,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7840086415)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«Спектр Реконструкция»</w:t>
      </w:r>
      <w:r w:rsidRPr="00496A50">
        <w:rPr>
          <w:sz w:val="22"/>
          <w:szCs w:val="22"/>
        </w:rPr>
        <w:t xml:space="preserve"> (ОГРН 1197847052545,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7840086415)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2.2.1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«ЭКСПОПРОЕКТ»</w:t>
      </w:r>
      <w:r w:rsidR="00B9210B" w:rsidRPr="00241327">
        <w:rPr>
          <w:sz w:val="22"/>
          <w:szCs w:val="22"/>
          <w:lang w:val="en-US"/>
        </w:rPr>
        <w:t xml:space="preserve"> (ОГРН 1197847249148,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7841087411)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«ЭКСПОПРОЕКТ»</w:t>
      </w:r>
      <w:r w:rsidRPr="00496A50">
        <w:rPr>
          <w:sz w:val="22"/>
          <w:szCs w:val="22"/>
        </w:rPr>
        <w:t xml:space="preserve"> (ОГРН 1197847249148,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7841087411)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февраля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