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«Санкт-Петербургский центр технического обслуживания изделий медицинской техники «Сентябрь»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1097847022976,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7804408917)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1049923001358,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9901006558)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«ДВ-Строй»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1102536004592,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2536228265)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«ОБРАКС СБМ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5077746796860,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7718645255)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1055473055901,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5408234205)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«Востокспецавтоматика»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1025401018290,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5402141723)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«Новый город»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1097847159453,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7810556046)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