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1109847042458,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7814487604)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Шевченко Сергея Васильевича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307235727800021,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235700149345)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