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Институт Гроднограждан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0055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0555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м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45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23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рпорация ЛенАэр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84763554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393674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0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2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