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«РСУ-55»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1103444002639,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3444177125)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«ВЕСТ ИНВЕСТ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1083925008397,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3906193082)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1116195001548,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6167092419)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«Онежская строительная компания лтд»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1041000051850,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1001160062)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27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