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1046002001385,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6037000784)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1115476031362,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5406663350)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1102635006022,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2635133896)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«ВолгоНефтеГазАвтоматика»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1113443001374,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3443103480)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«Росстроймонтаж»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1033400011556,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3435060970)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24.05.2011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25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